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drawing>
          <wp:inline xmlns:a="http://schemas.openxmlformats.org/drawingml/2006/main" xmlns:pic="http://schemas.openxmlformats.org/drawingml/2006/picture">
            <wp:extent cx="1122188" cy="1512000"/>
            <wp:docPr id="1" name="Picture 1"/>
            <wp:cNvGraphicFramePr>
              <a:graphicFrameLocks noChangeAspect="1"/>
            </wp:cNvGraphicFramePr>
            <a:graphic>
              <a:graphicData uri="http://schemas.openxmlformats.org/drawingml/2006/picture">
                <pic:pic>
                  <pic:nvPicPr>
                    <pic:cNvPr id="0" name="imagen6-u1455.png"/>
                    <pic:cNvPicPr/>
                  </pic:nvPicPr>
                  <pic:blipFill>
                    <a:blip r:embed="rId9"/>
                    <a:stretch>
                      <a:fillRect/>
                    </a:stretch>
                  </pic:blipFill>
                  <pic:spPr>
                    <a:xfrm>
                      <a:off x="0" y="0"/>
                      <a:ext cx="1122188" cy="1512000"/>
                    </a:xfrm>
                    <a:prstGeom prst="rect"/>
                  </pic:spPr>
                </pic:pic>
              </a:graphicData>
            </a:graphic>
          </wp:inline>
        </w:drawing>
      </w:r>
    </w:p>
    <w:p>
      <w:pPr>
        <w:spacing w:before="520"/>
        <w:jc w:val="center"/>
      </w:pPr>
      <w:r>
        <w:rPr>
          <w:b/>
          <w:color w:val="8A6D28"/>
          <w:sz w:val="22"/>
        </w:rPr>
        <w:t>CLUB DE YATES DE QUINTERO</w:t>
      </w:r>
    </w:p>
    <w:p>
      <w:pPr>
        <w:spacing w:before="200"/>
        <w:jc w:val="center"/>
      </w:pPr>
      <w:r>
        <w:rPr>
          <w:b w:val="0"/>
          <w:color w:val="142445"/>
          <w:sz w:val="52"/>
        </w:rPr>
        <w:t>Política de Sostenibilidad y Medioambiente</w:t>
      </w:r>
    </w:p>
    <w:p>
      <w:pPr>
        <w:spacing w:before="120"/>
        <w:jc w:val="center"/>
      </w:pPr>
      <w:r>
        <w:rPr>
          <w:b w:val="0"/>
          <w:color w:val="565D70"/>
          <w:sz w:val="24"/>
        </w:rPr>
        <w:t>Documento institucional · Vigente</w:t>
      </w:r>
    </w:p>
    <w:p>
      <w:pPr>
        <w:spacing w:before="600"/>
        <w:jc w:val="center"/>
      </w:pPr>
      <w:r>
        <w:rPr>
          <w:b w:val="0"/>
          <w:color w:val="565D70"/>
          <w:sz w:val="20"/>
        </w:rPr>
        <w:t>Versión 1.0 · Vigente desde septiembre de 2026</w:t>
      </w:r>
    </w:p>
    <w:p>
      <w:pPr>
        <w:spacing w:before="80"/>
        <w:jc w:val="center"/>
      </w:pPr>
      <w:r>
        <w:rPr>
          <w:b w:val="0"/>
          <w:color w:val="8A6D28"/>
          <w:sz w:val="20"/>
        </w:rPr>
        <w:t>Aprobada por el Directorio del Club de Yates de Quintero.</w:t>
      </w:r>
    </w:p>
    <w:p>
      <w:r>
        <w:br w:type="page"/>
      </w:r>
    </w:p>
    <w:p>
      <w:pPr>
        <w:spacing w:after="40"/>
      </w:pPr>
      <w:r>
        <w:rPr>
          <w:color w:val="565D70"/>
          <w:sz w:val="17"/>
        </w:rPr>
        <w:t>Av. 21 de Mayo 1215, Quintero, Región de Valparaíso, Chile</w:t>
      </w:r>
    </w:p>
    <w:p>
      <w:pPr>
        <w:spacing w:after="40"/>
      </w:pPr>
      <w:r>
        <w:rPr>
          <w:color w:val="565D70"/>
          <w:sz w:val="17"/>
        </w:rPr>
        <w:t>Versión: 1.0 · Vigente desde: septiembre de 2026 · Responsable: Administración del club · Próxima revisión: anual</w:t>
      </w:r>
    </w:p>
    <w:p/>
    <w:p>
      <w:pPr>
        <w:spacing w:before="320" w:after="120"/>
      </w:pPr>
      <w:r>
        <w:rPr>
          <w:b/>
          <w:color w:val="142445"/>
          <w:sz w:val="28"/>
        </w:rPr>
        <w:t>1. Objetivo</w:t>
      </w:r>
    </w:p>
    <w:p>
      <w:r>
        <w:t>Establecer de qué se hace responsable el Club de Yates de Quintero respecto del entorno en que opera, y con qué medios. No es una declaración de intenciones: es un reparto de tareas con responsable y plazo.</w:t>
      </w:r>
    </w:p>
    <w:p>
      <w:pPr>
        <w:spacing w:before="320" w:after="120"/>
      </w:pPr>
      <w:r>
        <w:rPr>
          <w:b/>
          <w:color w:val="142445"/>
          <w:sz w:val="28"/>
        </w:rPr>
        <w:t>2. Alcance</w:t>
      </w:r>
    </w:p>
    <w:p>
      <w:r>
        <w:t>Alcanza a la sede y sus instalaciones, al patio de maniobras, a las embarcaciones que el club alberga y a la actividad de la Academia Náutica. Alcanza también a la conducta de quienes usan el club: socios, alumnos, visitantes y personal.</w:t>
      </w:r>
    </w:p>
    <w:p>
      <w:r>
        <w:t>A agosto de 2026 el club reúne 73 socios y 63 embarcaciones. Esa es la escala de lo que aquí se compromete, y explica por qué las medidas son las de un club y no las de una industria.</w:t>
      </w:r>
    </w:p>
    <w:p>
      <w:pPr>
        <w:spacing w:before="320" w:after="120"/>
      </w:pPr>
      <w:r>
        <w:rPr>
          <w:b/>
          <w:color w:val="142445"/>
          <w:sz w:val="28"/>
        </w:rPr>
        <w:t>3. La bahía en la que navegamos</w:t>
      </w:r>
    </w:p>
    <w:p>
      <w:r>
        <w:t>El club navega esta bahía desde 1945. En ese tiempo Quintero se convirtió en una zona de concentración industrial y portuaria, y la bahía ha vivido episodios de contaminación que sus habitantes conocen de primera mano.</w:t>
      </w:r>
    </w:p>
    <w:p>
      <w:r>
        <w:t>Un club náutico no fiscaliza, no mide y no tiene competencia sobre lo que ocurre en los muelles industriales. Lo que sí tiene es una flota que sale a esta agua durante todo el año. Pocos miran esta bahía tan seguido ni tan de cerca.</w:t>
      </w:r>
    </w:p>
    <w:p>
      <w:r>
        <w:t>De ahí salen los dos compromisos de esta política. Uno mira hacia dentro: hacernos cargo de lo que el club produce —aceite usado, restos de pintura de fondo, baterías, envases, aguas de sentina—, controlarlo y separarlo para que entre al circuito de reciclaje de la comuna y no al mar.</w:t>
      </w:r>
    </w:p>
    <w:p>
      <w:r>
        <w:t>El otro mira hacia fuera: aportar a que se conozca el estado de la bahía, y conversar sobre cómo cuidarla con quienes trabajan en ella, las empresas de la zona incluidas. Este lugar no lo protege nadie por su cuenta.</w:t>
      </w:r>
    </w:p>
    <w:p>
      <w:pPr>
        <w:spacing w:before="200"/>
        <w:ind w:left="283"/>
      </w:pPr>
      <w:r>
        <w:rPr>
          <w:i/>
          <w:color w:val="8A6D28"/>
          <w:sz w:val="20"/>
        </w:rPr>
        <w:t>Lo que este documento no dice. Esta política no es un diagnóstico ambiental de Quintero ni pretende serlo. El club no fiscaliza, no mide la calidad del aire ni del agua, y no tiene competencia sobre las emisiones de la bahía. Atribuirnos ese papel sería falso y no ayudaría a nadie.</w:t>
      </w:r>
    </w:p>
    <w:p>
      <w:r>
        <w:t>Las denuncias por contaminación en el mar se presentan ante la Autoridad Marítima, que es quien tiene competencia. El club no es un canal de denuncias.</w:t>
      </w:r>
    </w:p>
    <w:p>
      <w:pPr>
        <w:spacing w:before="320" w:after="120"/>
      </w:pPr>
      <w:r>
        <w:rPr>
          <w:b/>
          <w:color w:val="142445"/>
          <w:sz w:val="28"/>
        </w:rPr>
        <w:t>4. Marco: qué nos obliga</w:t>
      </w:r>
    </w:p>
    <w:p>
      <w:r>
        <w:t>La Autoridad Marítima fiscaliza la navegación y las descargas en aguas jurisdiccionales. Es también quien examina a los alumnos de la Academia, quien otorga las licencias y quien recibe las denuncias por contaminación en el mar. La prohibición de verter residuos, aceites y aguas contaminadas al mar no depende de esta política: ya rige, y el club está sujeto a ella.</w:t>
      </w:r>
    </w:p>
    <w:p>
      <w:r>
        <w:t>El manejo de residuos peligrosos —aceites, pinturas, baterías, filtros— tiene reglas propias de almacenamiento, transporte y destino final, y exige entregarlos a un gestor autorizado. Los residuos de la sede entran en el sistema municipal de retiro y reciclaje.</w:t>
      </w:r>
    </w:p>
    <w:p>
      <w:pPr>
        <w:spacing w:before="200"/>
        <w:ind w:left="283"/>
      </w:pPr>
      <w:r>
        <w:rPr>
          <w:i/>
          <w:color w:val="8A6D28"/>
          <w:sz w:val="20"/>
        </w:rPr>
        <w:t>Las referencias normativas concretas se verificarán y fecharán antes de la versión aprobada. Se prefiere nombrar al regulador antes que citar mal un decreto.</w:t>
      </w:r>
    </w:p>
    <w:p>
      <w:pPr>
        <w:spacing w:before="320" w:after="120"/>
      </w:pPr>
      <w:r>
        <w:rPr>
          <w:b/>
          <w:color w:val="142445"/>
          <w:sz w:val="28"/>
        </w:rPr>
        <w:t>5. Práctica vigente: lo que ya hacemos</w:t>
      </w:r>
    </w:p>
    <w:p>
      <w:r>
        <w:t>Lo de esta sección ocurre hoy y se puede comprobar.</w:t>
      </w:r>
    </w:p>
    <w:p>
      <w:pPr>
        <w:pStyle w:val="ListBullet"/>
      </w:pPr>
      <w:r>
        <w:t>La Academia Náutica forma navegantes a vela desde 1946. La vela es propulsión sin combustión, y aprenderla bien es en sí una práctica de bajo impacto.</w:t>
      </w:r>
    </w:p>
    <w:p>
      <w:pPr>
        <w:pStyle w:val="ListBullet"/>
      </w:pPr>
      <w:r>
        <w:t>El temario incluye el Reglamento General de Deportes Náuticos y las obligaciones del patrón, entre ellas las que rigen los vertidos.</w:t>
      </w:r>
    </w:p>
    <w:p>
      <w:pPr>
        <w:pStyle w:val="ListBullet"/>
      </w:pPr>
      <w:r>
        <w:t>El club dicta charlas de aplicación de antifouling y de mantención de motores diésel: las dos faenas que más residuo generan en un club náutico.</w:t>
      </w:r>
    </w:p>
    <w:p>
      <w:pPr>
        <w:pStyle w:val="ListBullet"/>
      </w:pPr>
      <w:r>
        <w:t>Los cursos dictan su parte teórica vía Zoom y reservan lo presencial para lo que solo se aprende en el agua.</w:t>
      </w:r>
    </w:p>
    <w:p>
      <w:r>
        <w:t>Esto no empieza con este documento. En la graduación de la Academia del 25 de febrero de 2025, su director, el Capitán Ernesto Riquelme, llamó a los presentes «a cuidar el mar, a reducir su contaminación, evitando arrojar los deshechos y la basura al mar». Esta política es ese llamado, puesto por escrito y con plazos.</w:t>
      </w:r>
    </w:p>
    <w:p>
      <w:pPr>
        <w:spacing w:before="320" w:after="120"/>
      </w:pPr>
      <w:r>
        <w:rPr>
          <w:b/>
          <w:color w:val="142445"/>
          <w:sz w:val="28"/>
        </w:rPr>
        <w:t>6. Compromisos y plan de acción</w:t>
      </w:r>
    </w:p>
    <w:p>
      <w:r>
        <w:t>El club se compromete a las siguientes medidas, con plazo. Las marcadas como obligación legal no dependen de la voluntad del club: ya las exige la normativa.</w:t>
      </w:r>
    </w:p>
    <w:tbl>
      <w:tblPr>
        <w:tblStyle w:val="LightGrid-Accent1"/>
        <w:tblW w:type="auto" w:w="0"/>
        <w:tblLook w:firstColumn="1" w:firstRow="1" w:lastColumn="0" w:lastRow="0" w:noHBand="0" w:noVBand="1" w:val="04A0"/>
      </w:tblPr>
      <w:tblGrid>
        <w:gridCol w:w="3022"/>
        <w:gridCol w:w="3022"/>
        <w:gridCol w:w="3022"/>
      </w:tblGrid>
      <w:tr>
        <w:tc>
          <w:tcPr>
            <w:tcW w:type="dxa" w:w="3022"/>
          </w:tcPr>
          <w:p>
            <w:r/>
            <w:r>
              <w:rPr>
                <w:b/>
                <w:sz w:val="19"/>
              </w:rPr>
              <w:t>Iniciativa</w:t>
            </w:r>
          </w:p>
        </w:tc>
        <w:tc>
          <w:tcPr>
            <w:tcW w:type="dxa" w:w="3022"/>
          </w:tcPr>
          <w:p>
            <w:r/>
            <w:r>
              <w:rPr>
                <w:b/>
                <w:sz w:val="19"/>
              </w:rPr>
              <w:t>Horizonte</w:t>
            </w:r>
          </w:p>
        </w:tc>
        <w:tc>
          <w:tcPr>
            <w:tcW w:type="dxa" w:w="3022"/>
          </w:tcPr>
          <w:p>
            <w:r/>
            <w:r>
              <w:rPr>
                <w:b/>
                <w:sz w:val="19"/>
              </w:rPr>
              <w:t>Carácter</w:t>
            </w:r>
          </w:p>
        </w:tc>
      </w:tr>
      <w:tr>
        <w:tc>
          <w:tcPr>
            <w:tcW w:type="dxa" w:w="3022"/>
          </w:tcPr>
          <w:p>
            <w:r/>
            <w:r>
              <w:rPr>
                <w:sz w:val="19"/>
              </w:rPr>
              <w:t>Levantar qué residuos genera hoy el club y dónde termina cada uno.</w:t>
            </w:r>
          </w:p>
        </w:tc>
        <w:tc>
          <w:tcPr>
            <w:tcW w:type="dxa" w:w="3022"/>
          </w:tcPr>
          <w:p>
            <w:r/>
            <w:r>
              <w:rPr>
                <w:sz w:val="19"/>
              </w:rPr>
              <w:t>2026</w:t>
            </w:r>
          </w:p>
        </w:tc>
        <w:tc>
          <w:tcPr>
            <w:tcW w:type="dxa" w:w="3022"/>
          </w:tcPr>
          <w:p>
            <w:r/>
            <w:r>
              <w:rPr>
                <w:sz w:val="19"/>
              </w:rPr>
              <w:t>Compromiso</w:t>
            </w:r>
          </w:p>
        </w:tc>
      </w:tr>
      <w:tr>
        <w:tc>
          <w:tcPr>
            <w:tcW w:type="dxa" w:w="3022"/>
          </w:tcPr>
          <w:p>
            <w:r/>
            <w:r>
              <w:rPr>
                <w:sz w:val="19"/>
              </w:rPr>
              <w:t>Separar en origen los residuos de la sede para el retiro municipal.</w:t>
            </w:r>
          </w:p>
        </w:tc>
        <w:tc>
          <w:tcPr>
            <w:tcW w:type="dxa" w:w="3022"/>
          </w:tcPr>
          <w:p>
            <w:r/>
            <w:r>
              <w:rPr>
                <w:sz w:val="19"/>
              </w:rPr>
              <w:t>2026</w:t>
            </w:r>
          </w:p>
        </w:tc>
        <w:tc>
          <w:tcPr>
            <w:tcW w:type="dxa" w:w="3022"/>
          </w:tcPr>
          <w:p>
            <w:r/>
            <w:r>
              <w:rPr>
                <w:sz w:val="19"/>
              </w:rPr>
              <w:t>Compromiso</w:t>
            </w:r>
          </w:p>
        </w:tc>
      </w:tr>
      <w:tr>
        <w:tc>
          <w:tcPr>
            <w:tcW w:type="dxa" w:w="3022"/>
          </w:tcPr>
          <w:p>
            <w:r/>
            <w:r>
              <w:rPr>
                <w:sz w:val="19"/>
              </w:rPr>
              <w:t>Punto de acopio de aceite usado, filtros, baterías y restos de pintura.</w:t>
            </w:r>
          </w:p>
        </w:tc>
        <w:tc>
          <w:tcPr>
            <w:tcW w:type="dxa" w:w="3022"/>
          </w:tcPr>
          <w:p>
            <w:r/>
            <w:r>
              <w:rPr>
                <w:sz w:val="19"/>
              </w:rPr>
              <w:t>Temporada 2026-27</w:t>
            </w:r>
          </w:p>
        </w:tc>
        <w:tc>
          <w:tcPr>
            <w:tcW w:type="dxa" w:w="3022"/>
          </w:tcPr>
          <w:p>
            <w:r/>
            <w:r>
              <w:rPr>
                <w:sz w:val="19"/>
              </w:rPr>
              <w:t>Obligación legal</w:t>
            </w:r>
          </w:p>
        </w:tc>
      </w:tr>
      <w:tr>
        <w:tc>
          <w:tcPr>
            <w:tcW w:type="dxa" w:w="3022"/>
          </w:tcPr>
          <w:p>
            <w:r/>
            <w:r>
              <w:rPr>
                <w:sz w:val="19"/>
              </w:rPr>
              <w:t>Entregar los residuos peligrosos a un gestor autorizado, con registro.</w:t>
            </w:r>
          </w:p>
        </w:tc>
        <w:tc>
          <w:tcPr>
            <w:tcW w:type="dxa" w:w="3022"/>
          </w:tcPr>
          <w:p>
            <w:r/>
            <w:r>
              <w:rPr>
                <w:sz w:val="19"/>
              </w:rPr>
              <w:t>Temporada 2026-27</w:t>
            </w:r>
          </w:p>
        </w:tc>
        <w:tc>
          <w:tcPr>
            <w:tcW w:type="dxa" w:w="3022"/>
          </w:tcPr>
          <w:p>
            <w:r/>
            <w:r>
              <w:rPr>
                <w:sz w:val="19"/>
              </w:rPr>
              <w:t>Obligación legal</w:t>
            </w:r>
          </w:p>
        </w:tc>
      </w:tr>
      <w:tr>
        <w:tc>
          <w:tcPr>
            <w:tcW w:type="dxa" w:w="3022"/>
          </w:tcPr>
          <w:p>
            <w:r/>
            <w:r>
              <w:rPr>
                <w:sz w:val="19"/>
              </w:rPr>
              <w:t>Incorporar el manejo de residuos a bordo al temario y a las charlas.</w:t>
            </w:r>
          </w:p>
        </w:tc>
        <w:tc>
          <w:tcPr>
            <w:tcW w:type="dxa" w:w="3022"/>
          </w:tcPr>
          <w:p>
            <w:r/>
            <w:r>
              <w:rPr>
                <w:sz w:val="19"/>
              </w:rPr>
              <w:t>Temporada 2026-27</w:t>
            </w:r>
          </w:p>
        </w:tc>
        <w:tc>
          <w:tcPr>
            <w:tcW w:type="dxa" w:w="3022"/>
          </w:tcPr>
          <w:p>
            <w:r/>
            <w:r>
              <w:rPr>
                <w:sz w:val="19"/>
              </w:rPr>
              <w:t>Compromiso</w:t>
            </w:r>
          </w:p>
        </w:tc>
      </w:tr>
      <w:tr>
        <w:tc>
          <w:tcPr>
            <w:tcW w:type="dxa" w:w="3022"/>
          </w:tcPr>
          <w:p>
            <w:r/>
            <w:r>
              <w:rPr>
                <w:sz w:val="19"/>
              </w:rPr>
              <w:t>Conversar con las empresas que operan en la bahía sobre el borde costero.</w:t>
            </w:r>
          </w:p>
        </w:tc>
        <w:tc>
          <w:tcPr>
            <w:tcW w:type="dxa" w:w="3022"/>
          </w:tcPr>
          <w:p>
            <w:r/>
            <w:r>
              <w:rPr>
                <w:sz w:val="19"/>
              </w:rPr>
              <w:t>2027</w:t>
            </w:r>
          </w:p>
        </w:tc>
        <w:tc>
          <w:tcPr>
            <w:tcW w:type="dxa" w:w="3022"/>
          </w:tcPr>
          <w:p>
            <w:r/>
            <w:r>
              <w:rPr>
                <w:sz w:val="19"/>
              </w:rPr>
              <w:t>Compromiso</w:t>
            </w:r>
          </w:p>
        </w:tc>
      </w:tr>
      <w:tr>
        <w:tc>
          <w:tcPr>
            <w:tcW w:type="dxa" w:w="3022"/>
          </w:tcPr>
          <w:p>
            <w:r/>
            <w:r>
              <w:rPr>
                <w:sz w:val="19"/>
              </w:rPr>
              <w:t>Publicar lo avanzado, y lo no avanzado.</w:t>
            </w:r>
          </w:p>
        </w:tc>
        <w:tc>
          <w:tcPr>
            <w:tcW w:type="dxa" w:w="3022"/>
          </w:tcPr>
          <w:p>
            <w:r/>
            <w:r>
              <w:rPr>
                <w:sz w:val="19"/>
              </w:rPr>
              <w:t>2027</w:t>
            </w:r>
          </w:p>
        </w:tc>
        <w:tc>
          <w:tcPr>
            <w:tcW w:type="dxa" w:w="3022"/>
          </w:tcPr>
          <w:p>
            <w:r/>
            <w:r>
              <w:rPr>
                <w:sz w:val="19"/>
              </w:rPr>
              <w:t>Compromiso</w:t>
            </w:r>
          </w:p>
        </w:tc>
      </w:tr>
    </w:tbl>
    <w:p/>
    <w:p>
      <w:pPr>
        <w:spacing w:before="320" w:after="120"/>
      </w:pPr>
      <w:r>
        <w:rPr>
          <w:b/>
          <w:color w:val="142445"/>
          <w:sz w:val="28"/>
        </w:rPr>
        <w:t>7. Roles y responsabilidades</w:t>
      </w:r>
    </w:p>
    <w:tbl>
      <w:tblPr>
        <w:tblStyle w:val="LightGrid-Accent1"/>
        <w:tblW w:type="auto" w:w="0"/>
        <w:tblLook w:firstColumn="1" w:firstRow="1" w:lastColumn="0" w:lastRow="0" w:noHBand="0" w:noVBand="1" w:val="04A0"/>
      </w:tblPr>
      <w:tblGrid>
        <w:gridCol w:w="4533"/>
        <w:gridCol w:w="4533"/>
      </w:tblGrid>
      <w:tr>
        <w:tc>
          <w:tcPr>
            <w:tcW w:type="dxa" w:w="4533"/>
          </w:tcPr>
          <w:p>
            <w:r/>
            <w:r>
              <w:rPr>
                <w:b/>
                <w:sz w:val="19"/>
              </w:rPr>
              <w:t>Quién</w:t>
            </w:r>
          </w:p>
        </w:tc>
        <w:tc>
          <w:tcPr>
            <w:tcW w:type="dxa" w:w="4533"/>
          </w:tcPr>
          <w:p>
            <w:r/>
            <w:r>
              <w:rPr>
                <w:b/>
                <w:sz w:val="19"/>
              </w:rPr>
              <w:t>De qué responde</w:t>
            </w:r>
          </w:p>
        </w:tc>
      </w:tr>
      <w:tr>
        <w:tc>
          <w:tcPr>
            <w:tcW w:type="dxa" w:w="4533"/>
          </w:tcPr>
          <w:p>
            <w:r/>
            <w:r>
              <w:rPr>
                <w:sz w:val="19"/>
              </w:rPr>
              <w:t>Directorio</w:t>
            </w:r>
          </w:p>
        </w:tc>
        <w:tc>
          <w:tcPr>
            <w:tcW w:type="dxa" w:w="4533"/>
          </w:tcPr>
          <w:p>
            <w:r/>
            <w:r>
              <w:rPr>
                <w:sz w:val="19"/>
              </w:rPr>
              <w:t>Aprobar la política y sus revisiones. Asignar recursos. Decidir qué se publica.</w:t>
            </w:r>
          </w:p>
        </w:tc>
      </w:tr>
      <w:tr>
        <w:tc>
          <w:tcPr>
            <w:tcW w:type="dxa" w:w="4533"/>
          </w:tcPr>
          <w:p>
            <w:r/>
            <w:r>
              <w:rPr>
                <w:sz w:val="19"/>
              </w:rPr>
              <w:t>Administración</w:t>
            </w:r>
          </w:p>
        </w:tc>
        <w:tc>
          <w:tcPr>
            <w:tcW w:type="dxa" w:w="4533"/>
          </w:tcPr>
          <w:p>
            <w:r/>
            <w:r>
              <w:rPr>
                <w:sz w:val="19"/>
              </w:rPr>
              <w:t>Ejecutar el plan y llevar el registro de residuos. Contratar y supervisar al gestor autorizado. Informar al directorio una vez al año.</w:t>
            </w:r>
          </w:p>
        </w:tc>
      </w:tr>
      <w:tr>
        <w:tc>
          <w:tcPr>
            <w:tcW w:type="dxa" w:w="4533"/>
          </w:tcPr>
          <w:p>
            <w:r/>
            <w:r>
              <w:rPr>
                <w:sz w:val="19"/>
              </w:rPr>
              <w:t>Academia Náutica</w:t>
            </w:r>
          </w:p>
        </w:tc>
        <w:tc>
          <w:tcPr>
            <w:tcW w:type="dxa" w:w="4533"/>
          </w:tcPr>
          <w:p>
            <w:r/>
            <w:r>
              <w:rPr>
                <w:sz w:val="19"/>
              </w:rPr>
              <w:t>Incorporar el cuidado del mar al temario y a las charlas. Formar en las obligaciones del patrón.</w:t>
            </w:r>
          </w:p>
        </w:tc>
      </w:tr>
      <w:tr>
        <w:tc>
          <w:tcPr>
            <w:tcW w:type="dxa" w:w="4533"/>
          </w:tcPr>
          <w:p>
            <w:r/>
            <w:r>
              <w:rPr>
                <w:sz w:val="19"/>
              </w:rPr>
              <w:t>Socios y usuarios</w:t>
            </w:r>
          </w:p>
        </w:tc>
        <w:tc>
          <w:tcPr>
            <w:tcW w:type="dxa" w:w="4533"/>
          </w:tcPr>
          <w:p>
            <w:r/>
            <w:r>
              <w:rPr>
                <w:sz w:val="19"/>
              </w:rPr>
              <w:t>Aplicar estas prácticas. Hacerse cargo de los residuos de su embarcación. Avisar de cualquier derrame.</w:t>
            </w:r>
          </w:p>
        </w:tc>
      </w:tr>
    </w:tbl>
    <w:p/>
    <w:p>
      <w:pPr>
        <w:spacing w:before="320" w:after="120"/>
      </w:pPr>
      <w:r>
        <w:rPr>
          <w:b/>
          <w:color w:val="142445"/>
          <w:sz w:val="28"/>
        </w:rPr>
        <w:t>8. Seguimiento</w:t>
      </w:r>
    </w:p>
    <w:p>
      <w:r>
        <w:t>Cada indicador dice cómo se obtiene el dato, no cuánto debería dar. Publicar una meta antes de conocer la línea base es inventarla. La línea base se establece en el primer período de medición; las metas vienen después.</w:t>
      </w:r>
    </w:p>
    <w:tbl>
      <w:tblPr>
        <w:tblStyle w:val="LightGrid-Accent1"/>
        <w:tblW w:type="auto" w:w="0"/>
        <w:tblLook w:firstColumn="1" w:firstRow="1" w:lastColumn="0" w:lastRow="0" w:noHBand="0" w:noVBand="1" w:val="04A0"/>
      </w:tblPr>
      <w:tblGrid>
        <w:gridCol w:w="4533"/>
        <w:gridCol w:w="4533"/>
      </w:tblGrid>
      <w:tr>
        <w:tc>
          <w:tcPr>
            <w:tcW w:type="dxa" w:w="4533"/>
          </w:tcPr>
          <w:p>
            <w:r/>
            <w:r>
              <w:rPr>
                <w:b/>
                <w:sz w:val="19"/>
              </w:rPr>
              <w:t>Indicador</w:t>
            </w:r>
          </w:p>
        </w:tc>
        <w:tc>
          <w:tcPr>
            <w:tcW w:type="dxa" w:w="4533"/>
          </w:tcPr>
          <w:p>
            <w:r/>
            <w:r>
              <w:rPr>
                <w:b/>
                <w:sz w:val="19"/>
              </w:rPr>
              <w:t>Cómo se obtiene</w:t>
            </w:r>
          </w:p>
        </w:tc>
      </w:tr>
      <w:tr>
        <w:tc>
          <w:tcPr>
            <w:tcW w:type="dxa" w:w="4533"/>
          </w:tcPr>
          <w:p>
            <w:r/>
            <w:r>
              <w:rPr>
                <w:sz w:val="19"/>
              </w:rPr>
              <w:t>Residuos peligrosos retirados</w:t>
            </w:r>
          </w:p>
        </w:tc>
        <w:tc>
          <w:tcPr>
            <w:tcW w:type="dxa" w:w="4533"/>
          </w:tcPr>
          <w:p>
            <w:r/>
            <w:r>
              <w:rPr>
                <w:sz w:val="19"/>
              </w:rPr>
              <w:t>Registro de cada retiro del gestor autorizado, con fecha y tipo</w:t>
            </w:r>
          </w:p>
        </w:tc>
      </w:tr>
      <w:tr>
        <w:tc>
          <w:tcPr>
            <w:tcW w:type="dxa" w:w="4533"/>
          </w:tcPr>
          <w:p>
            <w:r/>
            <w:r>
              <w:rPr>
                <w:sz w:val="19"/>
              </w:rPr>
              <w:t>Residuos separados</w:t>
            </w:r>
          </w:p>
        </w:tc>
        <w:tc>
          <w:tcPr>
            <w:tcW w:type="dxa" w:w="4533"/>
          </w:tcPr>
          <w:p>
            <w:r/>
            <w:r>
              <w:rPr>
                <w:sz w:val="19"/>
              </w:rPr>
              <w:t>Registro del retiro municipal desde la sede</w:t>
            </w:r>
          </w:p>
        </w:tc>
      </w:tr>
      <w:tr>
        <w:tc>
          <w:tcPr>
            <w:tcW w:type="dxa" w:w="4533"/>
          </w:tcPr>
          <w:p>
            <w:r/>
            <w:r>
              <w:rPr>
                <w:sz w:val="19"/>
              </w:rPr>
              <w:t>Formación</w:t>
            </w:r>
          </w:p>
        </w:tc>
        <w:tc>
          <w:tcPr>
            <w:tcW w:type="dxa" w:w="4533"/>
          </w:tcPr>
          <w:p>
            <w:r/>
            <w:r>
              <w:rPr>
                <w:sz w:val="19"/>
              </w:rPr>
              <w:t>Charlas y clases con contenido de cuidado del mar</w:t>
            </w:r>
          </w:p>
        </w:tc>
      </w:tr>
      <w:tr>
        <w:tc>
          <w:tcPr>
            <w:tcW w:type="dxa" w:w="4533"/>
          </w:tcPr>
          <w:p>
            <w:r/>
            <w:r>
              <w:rPr>
                <w:sz w:val="19"/>
              </w:rPr>
              <w:t>Incidentes</w:t>
            </w:r>
          </w:p>
        </w:tc>
        <w:tc>
          <w:tcPr>
            <w:tcW w:type="dxa" w:w="4533"/>
          </w:tcPr>
          <w:p>
            <w:r/>
            <w:r>
              <w:rPr>
                <w:sz w:val="19"/>
              </w:rPr>
              <w:t>Derrames o vertidos ocurridos, y qué se hizo con ellos</w:t>
            </w:r>
          </w:p>
        </w:tc>
      </w:tr>
    </w:tbl>
    <w:p/>
    <w:p>
      <w:pPr>
        <w:spacing w:before="320" w:after="120"/>
      </w:pPr>
      <w:r>
        <w:rPr>
          <w:b/>
          <w:color w:val="142445"/>
          <w:sz w:val="28"/>
        </w:rPr>
        <w:t>9. Anexo: buenas prácticas</w:t>
      </w:r>
    </w:p>
    <w:p>
      <w:r>
        <w:t>Lo que cualquiera que use el club puede hacer desde hoy, sin esperar a que se apruebe nada.</w:t>
      </w:r>
    </w:p>
    <w:p>
      <w:pPr>
        <w:pStyle w:val="ListBullet"/>
      </w:pPr>
      <w:r>
        <w:t>A bordo: no arrojar nada al agua; llevar una bolsa y bajarla llena; revisar el motor antes de zarpar; achicar sentinas en tierra.</w:t>
      </w:r>
    </w:p>
    <w:p>
      <w:pPr>
        <w:pStyle w:val="ListBullet"/>
      </w:pPr>
      <w:r>
        <w:t>En el patio de maniobras: lijar y pintar sobre lona, no sobre la tierra; tarros y restos de pintura no van al basurero común; aceite y filtros al punto de acopio.</w:t>
      </w:r>
    </w:p>
    <w:p>
      <w:pPr>
        <w:pStyle w:val="ListBullet"/>
      </w:pPr>
      <w:r>
        <w:t>En la sede: separar papel, vidrio, latas y plástico; apagar luces y equipos al cerrar.</w:t>
      </w:r>
    </w:p>
    <w:p>
      <w:pPr>
        <w:pStyle w:val="ListBullet"/>
      </w:pPr>
      <w:r>
        <w:t>Al abastecerse: cargar combustible sin sobrellenar y con paño absorbente a mano; preferir productos de fondo menos agresivos cuando haya alternativa equivalente.</w:t>
      </w:r>
    </w:p>
    <w:p>
      <w:pPr>
        <w:spacing w:before="320" w:after="120"/>
      </w:pPr>
      <w:r>
        <w:rPr>
          <w:b/>
          <w:color w:val="142445"/>
          <w:sz w:val="28"/>
        </w:rPr>
        <w:t>10. Documentos relacionados</w:t>
      </w:r>
    </w:p>
    <w:p>
      <w:r>
        <w:t>Política y Compromiso de Impacto en la Comunidad, del mismo club y de la misma fecha.</w:t>
      </w:r>
    </w:p>
    <w:p>
      <w:pPr>
        <w:spacing w:before="320" w:after="120"/>
      </w:pPr>
      <w:r>
        <w:rPr>
          <w:b/>
          <w:color w:val="142445"/>
          <w:sz w:val="28"/>
        </w:rPr>
        <w:t>Control de versiones</w:t>
      </w:r>
    </w:p>
    <w:tbl>
      <w:tblPr>
        <w:tblStyle w:val="LightGrid-Accent1"/>
        <w:tblW w:type="auto" w:w="0"/>
        <w:tblLook w:firstColumn="1" w:firstRow="1" w:lastColumn="0" w:lastRow="0" w:noHBand="0" w:noVBand="1" w:val="04A0"/>
      </w:tblPr>
      <w:tblGrid>
        <w:gridCol w:w="3022"/>
        <w:gridCol w:w="3022"/>
        <w:gridCol w:w="3022"/>
      </w:tblGrid>
      <w:tr>
        <w:tc>
          <w:tcPr>
            <w:tcW w:type="dxa" w:w="3022"/>
          </w:tcPr>
          <w:p>
            <w:r/>
            <w:r>
              <w:rPr>
                <w:b/>
                <w:sz w:val="19"/>
              </w:rPr>
              <w:t>Versión</w:t>
            </w:r>
          </w:p>
        </w:tc>
        <w:tc>
          <w:tcPr>
            <w:tcW w:type="dxa" w:w="3022"/>
          </w:tcPr>
          <w:p>
            <w:r/>
            <w:r>
              <w:rPr>
                <w:b/>
                <w:sz w:val="19"/>
              </w:rPr>
              <w:t>Fecha</w:t>
            </w:r>
          </w:p>
        </w:tc>
        <w:tc>
          <w:tcPr>
            <w:tcW w:type="dxa" w:w="3022"/>
          </w:tcPr>
          <w:p>
            <w:r/>
            <w:r>
              <w:rPr>
                <w:b/>
                <w:sz w:val="19"/>
              </w:rPr>
              <w:t>Descripción</w:t>
            </w:r>
          </w:p>
        </w:tc>
      </w:tr>
      <w:tr>
        <w:tc>
          <w:tcPr>
            <w:tcW w:type="dxa" w:w="3022"/>
          </w:tcPr>
          <w:p>
            <w:r/>
            <w:r>
              <w:rPr>
                <w:sz w:val="19"/>
              </w:rPr>
              <w:t>1.0</w:t>
            </w:r>
          </w:p>
        </w:tc>
        <w:tc>
          <w:tcPr>
            <w:tcW w:type="dxa" w:w="3022"/>
          </w:tcPr>
          <w:p>
            <w:r/>
            <w:r>
              <w:rPr>
                <w:sz w:val="19"/>
              </w:rPr>
              <w:t>septiembre de 2026</w:t>
            </w:r>
          </w:p>
        </w:tc>
        <w:tc>
          <w:tcPr>
            <w:tcW w:type="dxa" w:w="3022"/>
          </w:tcPr>
          <w:p>
            <w:r/>
            <w:r>
              <w:rPr>
                <w:sz w:val="19"/>
              </w:rPr>
              <w:t>Emisión inicial, aprobada por el Directorio.</w:t>
            </w:r>
          </w:p>
        </w:tc>
      </w:tr>
    </w:tbl>
    <w:p/>
    <w:p>
      <w:pPr>
        <w:spacing w:before="320" w:after="120"/>
      </w:pPr>
      <w:r>
        <w:rPr>
          <w:b/>
          <w:color w:val="142445"/>
          <w:sz w:val="28"/>
        </w:rPr>
        <w:t>Vigencia y revisión</w:t>
      </w:r>
    </w:p>
    <w:p>
      <w:r>
        <w:t>Rige desde septiembre de 2026 y se revisa al menos una vez al año, incorporando lo avanzado del plan de acción.</w:t>
      </w:r>
    </w:p>
    <w:p>
      <w:pPr>
        <w:spacing w:before="320" w:after="120"/>
      </w:pPr>
      <w:r>
        <w:rPr>
          <w:b/>
          <w:color w:val="142445"/>
          <w:sz w:val="28"/>
        </w:rPr>
        <w:t>Aprobación</w:t>
      </w:r>
    </w:p>
    <w:p>
      <w:r>
        <w:t>Aprobada por el Directorio del Club de Yates de Quintero.</w:t>
      </w:r>
    </w:p>
    <w:p/>
    <w:p>
      <w:pPr>
        <w:spacing w:after="40"/>
      </w:pPr>
      <w:r>
        <w:rPr>
          <w:color w:val="565D70"/>
          <w:sz w:val="20"/>
        </w:rPr>
        <w:t>_______________________________</w:t>
      </w:r>
    </w:p>
    <w:p>
      <w:pPr>
        <w:spacing w:after="40"/>
      </w:pPr>
      <w:r>
        <w:rPr>
          <w:color w:val="565D70"/>
          <w:sz w:val="18"/>
        </w:rPr>
        <w:t>Presidente · Club de Yates de Quintero</w:t>
      </w:r>
    </w:p>
    <w:sectPr w:rsidR="00FC693F" w:rsidRPr="0006063C" w:rsidSect="00034616">
      <w:headerReference w:type="default" r:id="rId10"/>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267188" cy="360000"/>
          <wp:docPr id="1" name="Picture 1"/>
          <wp:cNvGraphicFramePr>
            <a:graphicFrameLocks noChangeAspect="1"/>
          </wp:cNvGraphicFramePr>
          <a:graphic>
            <a:graphicData uri="http://schemas.openxmlformats.org/drawingml/2006/picture">
              <pic:pic>
                <pic:nvPicPr>
                  <pic:cNvPr id="0" name="imagen6-u1455.png"/>
                  <pic:cNvPicPr/>
                </pic:nvPicPr>
                <pic:blipFill>
                  <a:blip r:embed="rId1"/>
                  <a:stretch>
                    <a:fillRect/>
                  </a:stretch>
                </pic:blipFill>
                <pic:spPr>
                  <a:xfrm>
                    <a:off x="0" y="0"/>
                    <a:ext cx="267188" cy="360000"/>
                  </a:xfrm>
                  <a:prstGeom prst="rect"/>
                </pic:spPr>
              </pic:pic>
            </a:graphicData>
          </a:graphic>
        </wp:inline>
      </w:drawing>
    </w:r>
    <w:r>
      <w:rPr>
        <w:color w:val="565D70"/>
        <w:sz w:val="16"/>
      </w:rPr>
      <w:t xml:space="preserve">  CLUB DE YATES DE QUINTERO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