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00"/>
        <w:jc w:val="center"/>
      </w:pPr>
      <w:r>
        <w:drawing>
          <wp:inline xmlns:a="http://schemas.openxmlformats.org/drawingml/2006/main" xmlns:pic="http://schemas.openxmlformats.org/drawingml/2006/picture">
            <wp:extent cx="1122188" cy="1512000"/>
            <wp:docPr id="1" name="Picture 1"/>
            <wp:cNvGraphicFramePr>
              <a:graphicFrameLocks noChangeAspect="1"/>
            </wp:cNvGraphicFramePr>
            <a:graphic>
              <a:graphicData uri="http://schemas.openxmlformats.org/drawingml/2006/picture">
                <pic:pic>
                  <pic:nvPicPr>
                    <pic:cNvPr id="0" name="imagen6-u1455.png"/>
                    <pic:cNvPicPr/>
                  </pic:nvPicPr>
                  <pic:blipFill>
                    <a:blip r:embed="rId9"/>
                    <a:stretch>
                      <a:fillRect/>
                    </a:stretch>
                  </pic:blipFill>
                  <pic:spPr>
                    <a:xfrm>
                      <a:off x="0" y="0"/>
                      <a:ext cx="1122188" cy="1512000"/>
                    </a:xfrm>
                    <a:prstGeom prst="rect"/>
                  </pic:spPr>
                </pic:pic>
              </a:graphicData>
            </a:graphic>
          </wp:inline>
        </w:drawing>
      </w:r>
    </w:p>
    <w:p>
      <w:pPr>
        <w:spacing w:before="520"/>
        <w:jc w:val="center"/>
      </w:pPr>
      <w:r>
        <w:rPr>
          <w:b/>
          <w:color w:val="8A6D28"/>
          <w:sz w:val="22"/>
        </w:rPr>
        <w:t>CLUB DE YATES DE QUINTERO</w:t>
      </w:r>
    </w:p>
    <w:p>
      <w:pPr>
        <w:spacing w:before="200"/>
        <w:jc w:val="center"/>
      </w:pPr>
      <w:r>
        <w:rPr>
          <w:b w:val="0"/>
          <w:color w:val="142445"/>
          <w:sz w:val="52"/>
        </w:rPr>
        <w:t>Política y Compromiso de Impacto en la Comunidad</w:t>
      </w:r>
    </w:p>
    <w:p>
      <w:pPr>
        <w:spacing w:before="120"/>
        <w:jc w:val="center"/>
      </w:pPr>
      <w:r>
        <w:rPr>
          <w:b w:val="0"/>
          <w:color w:val="565D70"/>
          <w:sz w:val="24"/>
        </w:rPr>
        <w:t>Documento institucional · Vigente</w:t>
      </w:r>
    </w:p>
    <w:p>
      <w:pPr>
        <w:spacing w:before="600"/>
        <w:jc w:val="center"/>
      </w:pPr>
      <w:r>
        <w:rPr>
          <w:b w:val="0"/>
          <w:color w:val="565D70"/>
          <w:sz w:val="20"/>
        </w:rPr>
        <w:t>Versión 1.0 · Vigente desde septiembre de 2026</w:t>
      </w:r>
    </w:p>
    <w:p>
      <w:pPr>
        <w:spacing w:before="80"/>
        <w:jc w:val="center"/>
      </w:pPr>
      <w:r>
        <w:rPr>
          <w:b w:val="0"/>
          <w:color w:val="8A6D28"/>
          <w:sz w:val="20"/>
        </w:rPr>
        <w:t>Aprobada por el Directorio del Club de Yates de Quintero.</w:t>
      </w:r>
    </w:p>
    <w:p>
      <w:r>
        <w:br w:type="page"/>
      </w:r>
    </w:p>
    <w:p>
      <w:pPr>
        <w:spacing w:after="40"/>
      </w:pPr>
      <w:r>
        <w:rPr>
          <w:color w:val="565D70"/>
          <w:sz w:val="17"/>
        </w:rPr>
        <w:t>Av. 21 de Mayo 1215, Quintero, Región de Valparaíso, Chile</w:t>
      </w:r>
    </w:p>
    <w:p>
      <w:pPr>
        <w:spacing w:after="40"/>
      </w:pPr>
      <w:r>
        <w:rPr>
          <w:color w:val="565D70"/>
          <w:sz w:val="17"/>
        </w:rPr>
        <w:t>Versión: 1.0 · Vigente desde: septiembre de 2026 · Responsable: Administración del club · Próxima revisión: anual</w:t>
      </w:r>
    </w:p>
    <w:p/>
    <w:p>
      <w:pPr>
        <w:spacing w:before="320" w:after="120"/>
      </w:pPr>
      <w:r>
        <w:rPr>
          <w:b/>
          <w:color w:val="142445"/>
          <w:sz w:val="28"/>
        </w:rPr>
        <w:t>1. Objetivo</w:t>
      </w:r>
    </w:p>
    <w:p>
      <w:r>
        <w:t>Declarar qué aporta el Club de Yates de Quintero a su entorno y con qué medios, distinguiendo lo que ya hace de lo que se propone hacer. Un compromiso sin esa distinción es propaganda.</w:t>
      </w:r>
    </w:p>
    <w:p>
      <w:pPr>
        <w:spacing w:before="320" w:after="120"/>
      </w:pPr>
      <w:r>
        <w:rPr>
          <w:b/>
          <w:color w:val="142445"/>
          <w:sz w:val="28"/>
        </w:rPr>
        <w:t>2. Alcance</w:t>
      </w:r>
    </w:p>
    <w:p>
      <w:r>
        <w:t>Alcanza a las actividades que el club abre más allá de sus socios, a su relación con la comuna de Quintero y a la conducta de quienes representan al club ante terceros.</w:t>
      </w:r>
    </w:p>
    <w:p>
      <w:r>
        <w:t>A agosto de 2026 el club reúne 73 socios y 63 embarcaciones. Es una institución pequeña, y lo que aquí se compromete está a esa escala.</w:t>
      </w:r>
    </w:p>
    <w:p>
      <w:pPr>
        <w:spacing w:before="320" w:after="120"/>
      </w:pPr>
      <w:r>
        <w:rPr>
          <w:b/>
          <w:color w:val="142445"/>
          <w:sz w:val="28"/>
        </w:rPr>
        <w:t>3. Dos comunidades</w:t>
      </w:r>
    </w:p>
    <w:p>
      <w:r>
        <w:t>La comunidad náutica: navegantes, alumnos, clubes hermanos y quien llega de paso a la bahía. Aquí el aporte del club es directo y antiguo: forma gente desde 1946 y recibe a quien recala. Es la comunidad donde el club tiene competencia real.</w:t>
      </w:r>
    </w:p>
    <w:p>
      <w:r>
        <w:t>La comuna de Quintero: el club ocupa un borde costero en una comuna con una historia ambiental y social propia. No es un actor central en ella, y sería falso presentarse como tal. Lo que sí puede es abrir lo que sabe hacer y prestar lo que tiene, en vez de comportarse como un recinto cerrado de espaldas al lugar donde está.</w:t>
      </w:r>
    </w:p>
    <w:p>
      <w:r>
        <w:t>En agosto de 2026 la sede acogió la ceremonia de titulación técnico-profesional del Liceo Politécnico de Quintero, a petición del establecimiento. No fue un programa ni un convenio: fue prestar el lugar cuando lo pidieron, que es la forma más simple de estar disponible.</w:t>
      </w:r>
    </w:p>
    <w:p>
      <w:pPr>
        <w:spacing w:before="320" w:after="120"/>
      </w:pPr>
      <w:r>
        <w:rPr>
          <w:b/>
          <w:color w:val="142445"/>
          <w:sz w:val="28"/>
        </w:rPr>
        <w:t>4. Principios</w:t>
      </w:r>
    </w:p>
    <w:p>
      <w:pPr>
        <w:pStyle w:val="ListBullet"/>
      </w:pPr>
      <w:r>
        <w:t>Aportar lo que sabemos hacer: enseñar a navegar, formar en seguridad en el mar y abrir el conocimiento náutico.</w:t>
      </w:r>
    </w:p>
    <w:p>
      <w:pPr>
        <w:pStyle w:val="ListBullet"/>
      </w:pPr>
      <w:r>
        <w:t>Preguntar antes de decidir: qué aporte sirve lo dice quien lo recibe.</w:t>
      </w:r>
    </w:p>
    <w:p>
      <w:pPr>
        <w:pStyle w:val="ListBullet"/>
      </w:pPr>
      <w:r>
        <w:t>Voluntariedad: ningún socio está obligado a participar.</w:t>
      </w:r>
    </w:p>
    <w:p>
      <w:pPr>
        <w:pStyle w:val="ListBullet"/>
      </w:pPr>
      <w:r>
        <w:t>No adornar: si una iniciativa no se hizo, se dice que no se hizo.</w:t>
      </w:r>
    </w:p>
    <w:p>
      <w:pPr>
        <w:spacing w:before="320" w:after="120"/>
      </w:pPr>
      <w:r>
        <w:rPr>
          <w:b/>
          <w:color w:val="142445"/>
          <w:sz w:val="28"/>
        </w:rPr>
        <w:t>5. Práctica vigente: lo que ya aportamos</w:t>
      </w:r>
    </w:p>
    <w:p>
      <w:pPr>
        <w:pStyle w:val="ListBullet"/>
      </w:pPr>
      <w:r>
        <w:t>Los cursos de la Academia no exigen ser socio. Se entra desde los 14 años cumplidos, sin experiencia previa y sin tener embarcación.</w:t>
      </w:r>
    </w:p>
    <w:p>
      <w:pPr>
        <w:pStyle w:val="ListBullet"/>
      </w:pPr>
      <w:r>
        <w:t>La Academia forma navegantes desde 1946 y ha sido reconocida por la Autoridad Marítima por la calidad de su enseñanza.</w:t>
      </w:r>
    </w:p>
    <w:p>
      <w:pPr>
        <w:pStyle w:val="ListBullet"/>
      </w:pPr>
      <w:r>
        <w:t>Durante el curso y por tres meses después, los alumnos y sus familias tienen derechos de socio.</w:t>
      </w:r>
    </w:p>
    <w:p>
      <w:pPr>
        <w:pStyle w:val="ListBullet"/>
      </w:pPr>
      <w:r>
        <w:t>El club atiende por VHF 16 y ofrece a los navegantes visitantes baños, servicios y alojamiento.</w:t>
      </w:r>
    </w:p>
    <w:p>
      <w:pPr>
        <w:pStyle w:val="ListBullet"/>
      </w:pPr>
      <w:r>
        <w:t>En agosto de 2026 la sede acogió la ceremonia de titulación del Liceo Politécnico de Quintero, a petición del establecimiento.</w:t>
      </w:r>
    </w:p>
    <w:p>
      <w:r>
        <w:t>El temario de la Academia incluye recuperación de hombre al agua, primeros auxilios y procedimientos de emergencia. El club no cumple ningún papel en el rescate marítimo —eso es competencia de la Armada—, pero cada persona que forma sale sabiendo qué hacer cuando algo va mal a bordo.</w:t>
      </w:r>
    </w:p>
    <w:p>
      <w:pPr>
        <w:spacing w:before="320" w:after="120"/>
      </w:pPr>
      <w:r>
        <w:rPr>
          <w:b/>
          <w:color w:val="142445"/>
          <w:sz w:val="28"/>
        </w:rPr>
        <w:t>6. Compromisos y plan de acción</w:t>
      </w:r>
    </w:p>
    <w:p>
      <w:r>
        <w:t>El club se compromete a las siguientes medidas, con plazo. La primera es contar lo que ya se hace: hoy no sabe cuántas personas ha formado ni a cuántas ha recibido, y sin ese número ningún compromiso posterior se puede evaluar.</w:t>
      </w:r>
    </w:p>
    <w:tbl>
      <w:tblPr>
        <w:tblStyle w:val="LightGrid-Accent1"/>
        <w:tblW w:type="auto" w:w="0"/>
        <w:tblLook w:firstColumn="1" w:firstRow="1" w:lastColumn="0" w:lastRow="0" w:noHBand="0" w:noVBand="1" w:val="04A0"/>
      </w:tblPr>
      <w:tblGrid>
        <w:gridCol w:w="4533"/>
        <w:gridCol w:w="4533"/>
      </w:tblGrid>
      <w:tr>
        <w:tc>
          <w:tcPr>
            <w:tcW w:type="dxa" w:w="4533"/>
          </w:tcPr>
          <w:p>
            <w:r/>
            <w:r>
              <w:rPr>
                <w:b/>
                <w:sz w:val="19"/>
              </w:rPr>
              <w:t>Iniciativa</w:t>
            </w:r>
          </w:p>
        </w:tc>
        <w:tc>
          <w:tcPr>
            <w:tcW w:type="dxa" w:w="4533"/>
          </w:tcPr>
          <w:p>
            <w:r/>
            <w:r>
              <w:rPr>
                <w:b/>
                <w:sz w:val="19"/>
              </w:rPr>
              <w:t>Horizonte</w:t>
            </w:r>
          </w:p>
        </w:tc>
      </w:tr>
      <w:tr>
        <w:tc>
          <w:tcPr>
            <w:tcW w:type="dxa" w:w="4533"/>
          </w:tcPr>
          <w:p>
            <w:r/>
            <w:r>
              <w:rPr>
                <w:sz w:val="19"/>
              </w:rPr>
              <w:t>Registrar lo que el club ya aporta: alumnos formados, charlas abiertas, navegantes recibidos.</w:t>
            </w:r>
          </w:p>
        </w:tc>
        <w:tc>
          <w:tcPr>
            <w:tcW w:type="dxa" w:w="4533"/>
          </w:tcPr>
          <w:p>
            <w:r/>
            <w:r>
              <w:rPr>
                <w:sz w:val="19"/>
              </w:rPr>
              <w:t>2026</w:t>
            </w:r>
          </w:p>
        </w:tc>
      </w:tr>
      <w:tr>
        <w:tc>
          <w:tcPr>
            <w:tcW w:type="dxa" w:w="4533"/>
          </w:tcPr>
          <w:p>
            <w:r/>
            <w:r>
              <w:rPr>
                <w:sz w:val="19"/>
              </w:rPr>
              <w:t>Abrir al menos una actividad al año a la comunidad de Quintero, sin costo y sin requisito de ser socio.</w:t>
            </w:r>
          </w:p>
        </w:tc>
        <w:tc>
          <w:tcPr>
            <w:tcW w:type="dxa" w:w="4533"/>
          </w:tcPr>
          <w:p>
            <w:r/>
            <w:r>
              <w:rPr>
                <w:sz w:val="19"/>
              </w:rPr>
              <w:t>Temporada 2026-27</w:t>
            </w:r>
          </w:p>
        </w:tc>
      </w:tr>
      <w:tr>
        <w:tc>
          <w:tcPr>
            <w:tcW w:type="dxa" w:w="4533"/>
          </w:tcPr>
          <w:p>
            <w:r/>
            <w:r>
              <w:rPr>
                <w:sz w:val="19"/>
              </w:rPr>
              <w:t>Ofrecer las charlas del club a establecimientos educacionales de la comuna, y mantener la sede disponible para sus ceremonias, como ya se hizo con el Liceo Politécnico.</w:t>
            </w:r>
          </w:p>
        </w:tc>
        <w:tc>
          <w:tcPr>
            <w:tcW w:type="dxa" w:w="4533"/>
          </w:tcPr>
          <w:p>
            <w:r/>
            <w:r>
              <w:rPr>
                <w:sz w:val="19"/>
              </w:rPr>
              <w:t>Temporada 2026-27</w:t>
            </w:r>
          </w:p>
        </w:tc>
      </w:tr>
      <w:tr>
        <w:tc>
          <w:tcPr>
            <w:tcW w:type="dxa" w:w="4533"/>
          </w:tcPr>
          <w:p>
            <w:r/>
            <w:r>
              <w:rPr>
                <w:sz w:val="19"/>
              </w:rPr>
              <w:t>Establecer contacto con la municipalidad y organizaciones de la comuna para saber qué aporte les sirve de verdad.</w:t>
            </w:r>
          </w:p>
        </w:tc>
        <w:tc>
          <w:tcPr>
            <w:tcW w:type="dxa" w:w="4533"/>
          </w:tcPr>
          <w:p>
            <w:r/>
            <w:r>
              <w:rPr>
                <w:sz w:val="19"/>
              </w:rPr>
              <w:t>2027</w:t>
            </w:r>
          </w:p>
        </w:tc>
      </w:tr>
      <w:tr>
        <w:tc>
          <w:tcPr>
            <w:tcW w:type="dxa" w:w="4533"/>
          </w:tcPr>
          <w:p>
            <w:r/>
            <w:r>
              <w:rPr>
                <w:sz w:val="19"/>
              </w:rPr>
              <w:t>Conversar con las empresas de la bahía sobre iniciativas conjuntas de cuidado del borde costero.</w:t>
            </w:r>
          </w:p>
        </w:tc>
        <w:tc>
          <w:tcPr>
            <w:tcW w:type="dxa" w:w="4533"/>
          </w:tcPr>
          <w:p>
            <w:r/>
            <w:r>
              <w:rPr>
                <w:sz w:val="19"/>
              </w:rPr>
              <w:t>2027</w:t>
            </w:r>
          </w:p>
        </w:tc>
      </w:tr>
      <w:tr>
        <w:tc>
          <w:tcPr>
            <w:tcW w:type="dxa" w:w="4533"/>
          </w:tcPr>
          <w:p>
            <w:r/>
            <w:r>
              <w:rPr>
                <w:sz w:val="19"/>
              </w:rPr>
              <w:t>Informar qué se hizo y qué no.</w:t>
            </w:r>
          </w:p>
        </w:tc>
        <w:tc>
          <w:tcPr>
            <w:tcW w:type="dxa" w:w="4533"/>
          </w:tcPr>
          <w:p>
            <w:r/>
            <w:r>
              <w:rPr>
                <w:sz w:val="19"/>
              </w:rPr>
              <w:t>Anual</w:t>
            </w:r>
          </w:p>
        </w:tc>
      </w:tr>
    </w:tbl>
    <w:p/>
    <w:p>
      <w:pPr>
        <w:spacing w:before="320" w:after="120"/>
      </w:pPr>
      <w:r>
        <w:rPr>
          <w:b/>
          <w:color w:val="142445"/>
          <w:sz w:val="28"/>
        </w:rPr>
        <w:t>7. Roles y responsabilidades</w:t>
      </w:r>
    </w:p>
    <w:tbl>
      <w:tblPr>
        <w:tblStyle w:val="LightGrid-Accent1"/>
        <w:tblW w:type="auto" w:w="0"/>
        <w:tblLook w:firstColumn="1" w:firstRow="1" w:lastColumn="0" w:lastRow="0" w:noHBand="0" w:noVBand="1" w:val="04A0"/>
      </w:tblPr>
      <w:tblGrid>
        <w:gridCol w:w="4533"/>
        <w:gridCol w:w="4533"/>
      </w:tblGrid>
      <w:tr>
        <w:tc>
          <w:tcPr>
            <w:tcW w:type="dxa" w:w="4533"/>
          </w:tcPr>
          <w:p>
            <w:r/>
            <w:r>
              <w:rPr>
                <w:b/>
                <w:sz w:val="19"/>
              </w:rPr>
              <w:t>Quién</w:t>
            </w:r>
          </w:p>
        </w:tc>
        <w:tc>
          <w:tcPr>
            <w:tcW w:type="dxa" w:w="4533"/>
          </w:tcPr>
          <w:p>
            <w:r/>
            <w:r>
              <w:rPr>
                <w:b/>
                <w:sz w:val="19"/>
              </w:rPr>
              <w:t>De qué responde</w:t>
            </w:r>
          </w:p>
        </w:tc>
      </w:tr>
      <w:tr>
        <w:tc>
          <w:tcPr>
            <w:tcW w:type="dxa" w:w="4533"/>
          </w:tcPr>
          <w:p>
            <w:r/>
            <w:r>
              <w:rPr>
                <w:sz w:val="19"/>
              </w:rPr>
              <w:t>Directorio</w:t>
            </w:r>
          </w:p>
        </w:tc>
        <w:tc>
          <w:tcPr>
            <w:tcW w:type="dxa" w:w="4533"/>
          </w:tcPr>
          <w:p>
            <w:r/>
            <w:r>
              <w:rPr>
                <w:sz w:val="19"/>
              </w:rPr>
              <w:t>Aprobar la política y priorizar iniciativas. Asignar recursos. Resolver qué compromisos adquiere el club.</w:t>
            </w:r>
          </w:p>
        </w:tc>
      </w:tr>
      <w:tr>
        <w:tc>
          <w:tcPr>
            <w:tcW w:type="dxa" w:w="4533"/>
          </w:tcPr>
          <w:p>
            <w:r/>
            <w:r>
              <w:rPr>
                <w:sz w:val="19"/>
              </w:rPr>
              <w:t>Administración</w:t>
            </w:r>
          </w:p>
        </w:tc>
        <w:tc>
          <w:tcPr>
            <w:tcW w:type="dxa" w:w="4533"/>
          </w:tcPr>
          <w:p>
            <w:r/>
            <w:r>
              <w:rPr>
                <w:sz w:val="19"/>
              </w:rPr>
              <w:t>Coordinar y registrar cada iniciativa. Mantener el vínculo con la municipalidad y las organizaciones locales. Informar al directorio una vez al año.</w:t>
            </w:r>
          </w:p>
        </w:tc>
      </w:tr>
      <w:tr>
        <w:tc>
          <w:tcPr>
            <w:tcW w:type="dxa" w:w="4533"/>
          </w:tcPr>
          <w:p>
            <w:r/>
            <w:r>
              <w:rPr>
                <w:sz w:val="19"/>
              </w:rPr>
              <w:t>Academia Náutica</w:t>
            </w:r>
          </w:p>
        </w:tc>
        <w:tc>
          <w:tcPr>
            <w:tcW w:type="dxa" w:w="4533"/>
          </w:tcPr>
          <w:p>
            <w:r/>
            <w:r>
              <w:rPr>
                <w:sz w:val="19"/>
              </w:rPr>
              <w:t>Sostener la formación abierta a quienes no son socios. Acercar las charlas a quien quiera asistir.</w:t>
            </w:r>
          </w:p>
        </w:tc>
      </w:tr>
      <w:tr>
        <w:tc>
          <w:tcPr>
            <w:tcW w:type="dxa" w:w="4533"/>
          </w:tcPr>
          <w:p>
            <w:r/>
            <w:r>
              <w:rPr>
                <w:sz w:val="19"/>
              </w:rPr>
              <w:t>Socios</w:t>
            </w:r>
          </w:p>
        </w:tc>
        <w:tc>
          <w:tcPr>
            <w:tcW w:type="dxa" w:w="4533"/>
          </w:tcPr>
          <w:p>
            <w:r/>
            <w:r>
              <w:rPr>
                <w:sz w:val="19"/>
              </w:rPr>
              <w:t>Participar de forma voluntaria. Proponer iniciativas. Recibir bien a quien llega de fuera.</w:t>
            </w:r>
          </w:p>
        </w:tc>
      </w:tr>
    </w:tbl>
    <w:p/>
    <w:p>
      <w:pPr>
        <w:spacing w:before="320" w:after="120"/>
      </w:pPr>
      <w:r>
        <w:rPr>
          <w:b/>
          <w:color w:val="142445"/>
          <w:sz w:val="28"/>
        </w:rPr>
        <w:t>8. Seguimiento</w:t>
      </w:r>
    </w:p>
    <w:p>
      <w:r>
        <w:t>Ningún indicador tiene meta todavía: no hay línea base, porque el club nunca ha llevado esta cuenta. El primer año sirve para saber de qué punto se parte.</w:t>
      </w:r>
    </w:p>
    <w:tbl>
      <w:tblPr>
        <w:tblStyle w:val="LightGrid-Accent1"/>
        <w:tblW w:type="auto" w:w="0"/>
        <w:tblLook w:firstColumn="1" w:firstRow="1" w:lastColumn="0" w:lastRow="0" w:noHBand="0" w:noVBand="1" w:val="04A0"/>
      </w:tblPr>
      <w:tblGrid>
        <w:gridCol w:w="4533"/>
        <w:gridCol w:w="4533"/>
      </w:tblGrid>
      <w:tr>
        <w:tc>
          <w:tcPr>
            <w:tcW w:type="dxa" w:w="4533"/>
          </w:tcPr>
          <w:p>
            <w:r/>
            <w:r>
              <w:rPr>
                <w:b/>
                <w:sz w:val="19"/>
              </w:rPr>
              <w:t>Indicador</w:t>
            </w:r>
          </w:p>
        </w:tc>
        <w:tc>
          <w:tcPr>
            <w:tcW w:type="dxa" w:w="4533"/>
          </w:tcPr>
          <w:p>
            <w:r/>
            <w:r>
              <w:rPr>
                <w:b/>
                <w:sz w:val="19"/>
              </w:rPr>
              <w:t>Cómo se obtiene</w:t>
            </w:r>
          </w:p>
        </w:tc>
      </w:tr>
      <w:tr>
        <w:tc>
          <w:tcPr>
            <w:tcW w:type="dxa" w:w="4533"/>
          </w:tcPr>
          <w:p>
            <w:r/>
            <w:r>
              <w:rPr>
                <w:sz w:val="19"/>
              </w:rPr>
              <w:t>Personas formadas</w:t>
            </w:r>
          </w:p>
        </w:tc>
        <w:tc>
          <w:tcPr>
            <w:tcW w:type="dxa" w:w="4533"/>
          </w:tcPr>
          <w:p>
            <w:r/>
            <w:r>
              <w:rPr>
                <w:sz w:val="19"/>
              </w:rPr>
              <w:t>Alumnos que terminan cada curso, distinguiendo socios de quienes no lo son</w:t>
            </w:r>
          </w:p>
        </w:tc>
      </w:tr>
      <w:tr>
        <w:tc>
          <w:tcPr>
            <w:tcW w:type="dxa" w:w="4533"/>
          </w:tcPr>
          <w:p>
            <w:r/>
            <w:r>
              <w:rPr>
                <w:sz w:val="19"/>
              </w:rPr>
              <w:t>Actividades abiertas</w:t>
            </w:r>
          </w:p>
        </w:tc>
        <w:tc>
          <w:tcPr>
            <w:tcW w:type="dxa" w:w="4533"/>
          </w:tcPr>
          <w:p>
            <w:r/>
            <w:r>
              <w:rPr>
                <w:sz w:val="19"/>
              </w:rPr>
              <w:t>Actividades a las que pudo asistir cualquiera, y cuánta gente fue</w:t>
            </w:r>
          </w:p>
        </w:tc>
      </w:tr>
      <w:tr>
        <w:tc>
          <w:tcPr>
            <w:tcW w:type="dxa" w:w="4533"/>
          </w:tcPr>
          <w:p>
            <w:r/>
            <w:r>
              <w:rPr>
                <w:sz w:val="19"/>
              </w:rPr>
              <w:t>Navegantes recibidos</w:t>
            </w:r>
          </w:p>
        </w:tc>
        <w:tc>
          <w:tcPr>
            <w:tcW w:type="dxa" w:w="4533"/>
          </w:tcPr>
          <w:p>
            <w:r/>
            <w:r>
              <w:rPr>
                <w:sz w:val="19"/>
              </w:rPr>
              <w:t>Registro de embarcaciones visitantes atendidas</w:t>
            </w:r>
          </w:p>
        </w:tc>
      </w:tr>
      <w:tr>
        <w:tc>
          <w:tcPr>
            <w:tcW w:type="dxa" w:w="4533"/>
          </w:tcPr>
          <w:p>
            <w:r/>
            <w:r>
              <w:rPr>
                <w:sz w:val="19"/>
              </w:rPr>
              <w:t>Vínculos</w:t>
            </w:r>
          </w:p>
        </w:tc>
        <w:tc>
          <w:tcPr>
            <w:tcW w:type="dxa" w:w="4533"/>
          </w:tcPr>
          <w:p>
            <w:r/>
            <w:r>
              <w:rPr>
                <w:sz w:val="19"/>
              </w:rPr>
              <w:t>Organizaciones y empresas con las que se conversó, y en qué quedó</w:t>
            </w:r>
          </w:p>
        </w:tc>
      </w:tr>
    </w:tbl>
    <w:p/>
    <w:p>
      <w:pPr>
        <w:spacing w:before="320" w:after="120"/>
      </w:pPr>
      <w:r>
        <w:rPr>
          <w:b/>
          <w:color w:val="142445"/>
          <w:sz w:val="28"/>
        </w:rPr>
        <w:t>9. Documentos relacionados</w:t>
      </w:r>
    </w:p>
    <w:p>
      <w:r>
        <w:t>Política de Sostenibilidad y Medioambiente, del mismo club y de la misma fecha.</w:t>
      </w:r>
    </w:p>
    <w:p>
      <w:pPr>
        <w:spacing w:before="320" w:after="120"/>
      </w:pPr>
      <w:r>
        <w:rPr>
          <w:b/>
          <w:color w:val="142445"/>
          <w:sz w:val="28"/>
        </w:rPr>
        <w:t>Control de versiones</w:t>
      </w:r>
    </w:p>
    <w:tbl>
      <w:tblPr>
        <w:tblStyle w:val="LightGrid-Accent1"/>
        <w:tblW w:type="auto" w:w="0"/>
        <w:tblLook w:firstColumn="1" w:firstRow="1" w:lastColumn="0" w:lastRow="0" w:noHBand="0" w:noVBand="1" w:val="04A0"/>
      </w:tblPr>
      <w:tblGrid>
        <w:gridCol w:w="3022"/>
        <w:gridCol w:w="3022"/>
        <w:gridCol w:w="3022"/>
      </w:tblGrid>
      <w:tr>
        <w:tc>
          <w:tcPr>
            <w:tcW w:type="dxa" w:w="3022"/>
          </w:tcPr>
          <w:p>
            <w:r/>
            <w:r>
              <w:rPr>
                <w:b/>
                <w:sz w:val="19"/>
              </w:rPr>
              <w:t>Versión</w:t>
            </w:r>
          </w:p>
        </w:tc>
        <w:tc>
          <w:tcPr>
            <w:tcW w:type="dxa" w:w="3022"/>
          </w:tcPr>
          <w:p>
            <w:r/>
            <w:r>
              <w:rPr>
                <w:b/>
                <w:sz w:val="19"/>
              </w:rPr>
              <w:t>Fecha</w:t>
            </w:r>
          </w:p>
        </w:tc>
        <w:tc>
          <w:tcPr>
            <w:tcW w:type="dxa" w:w="3022"/>
          </w:tcPr>
          <w:p>
            <w:r/>
            <w:r>
              <w:rPr>
                <w:b/>
                <w:sz w:val="19"/>
              </w:rPr>
              <w:t>Descripción</w:t>
            </w:r>
          </w:p>
        </w:tc>
      </w:tr>
      <w:tr>
        <w:tc>
          <w:tcPr>
            <w:tcW w:type="dxa" w:w="3022"/>
          </w:tcPr>
          <w:p>
            <w:r/>
            <w:r>
              <w:rPr>
                <w:sz w:val="19"/>
              </w:rPr>
              <w:t>1.0</w:t>
            </w:r>
          </w:p>
        </w:tc>
        <w:tc>
          <w:tcPr>
            <w:tcW w:type="dxa" w:w="3022"/>
          </w:tcPr>
          <w:p>
            <w:r/>
            <w:r>
              <w:rPr>
                <w:sz w:val="19"/>
              </w:rPr>
              <w:t>septiembre de 2026</w:t>
            </w:r>
          </w:p>
        </w:tc>
        <w:tc>
          <w:tcPr>
            <w:tcW w:type="dxa" w:w="3022"/>
          </w:tcPr>
          <w:p>
            <w:r/>
            <w:r>
              <w:rPr>
                <w:sz w:val="19"/>
              </w:rPr>
              <w:t>Emisión inicial, aprobada por el Directorio.</w:t>
            </w:r>
          </w:p>
        </w:tc>
      </w:tr>
    </w:tbl>
    <w:p/>
    <w:p>
      <w:pPr>
        <w:spacing w:before="320" w:after="120"/>
      </w:pPr>
      <w:r>
        <w:rPr>
          <w:b/>
          <w:color w:val="142445"/>
          <w:sz w:val="28"/>
        </w:rPr>
        <w:t>Vigencia y revisión</w:t>
      </w:r>
    </w:p>
    <w:p>
      <w:r>
        <w:t>Rige desde septiembre de 2026 y se revisa al menos una vez al año, incorporando lo avanzado del plan de acción.</w:t>
      </w:r>
    </w:p>
    <w:p>
      <w:pPr>
        <w:spacing w:before="320" w:after="120"/>
      </w:pPr>
      <w:r>
        <w:rPr>
          <w:b/>
          <w:color w:val="142445"/>
          <w:sz w:val="28"/>
        </w:rPr>
        <w:t>Aprobación</w:t>
      </w:r>
    </w:p>
    <w:p>
      <w:r>
        <w:t>Aprobada por el Directorio del Club de Yates de Quintero.</w:t>
      </w:r>
    </w:p>
    <w:p/>
    <w:p>
      <w:pPr>
        <w:spacing w:after="40"/>
      </w:pPr>
      <w:r>
        <w:rPr>
          <w:color w:val="565D70"/>
          <w:sz w:val="20"/>
        </w:rPr>
        <w:t>_______________________________</w:t>
      </w:r>
    </w:p>
    <w:p>
      <w:pPr>
        <w:spacing w:after="40"/>
      </w:pPr>
      <w:r>
        <w:rPr>
          <w:color w:val="565D70"/>
          <w:sz w:val="18"/>
        </w:rPr>
        <w:t>Presidente · Club de Yates de Quintero</w:t>
      </w:r>
    </w:p>
    <w:sectPr w:rsidR="00FC693F" w:rsidRPr="0006063C" w:rsidSect="00034616">
      <w:headerReference w:type="default" r:id="rId10"/>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67188" cy="360000"/>
          <wp:docPr id="1" name="Picture 1"/>
          <wp:cNvGraphicFramePr>
            <a:graphicFrameLocks noChangeAspect="1"/>
          </wp:cNvGraphicFramePr>
          <a:graphic>
            <a:graphicData uri="http://schemas.openxmlformats.org/drawingml/2006/picture">
              <pic:pic>
                <pic:nvPicPr>
                  <pic:cNvPr id="0" name="imagen6-u1455.png"/>
                  <pic:cNvPicPr/>
                </pic:nvPicPr>
                <pic:blipFill>
                  <a:blip r:embed="rId1"/>
                  <a:stretch>
                    <a:fillRect/>
                  </a:stretch>
                </pic:blipFill>
                <pic:spPr>
                  <a:xfrm>
                    <a:off x="0" y="0"/>
                    <a:ext cx="267188" cy="360000"/>
                  </a:xfrm>
                  <a:prstGeom prst="rect"/>
                </pic:spPr>
              </pic:pic>
            </a:graphicData>
          </a:graphic>
        </wp:inline>
      </w:drawing>
    </w:r>
    <w:r>
      <w:rPr>
        <w:color w:val="565D70"/>
        <w:sz w:val="16"/>
      </w:rPr>
      <w:t xml:space="preserve">  CLUB DE YATES DE QUINTERO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